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textAlignment w:val="baseline"/>
        <w:rPr>
          <w:rFonts w:hint="eastAsia" w:ascii="黑体" w:hAnsi="黑体" w:eastAsia="黑体" w:cs="黑体"/>
          <w:b/>
          <w:bCs/>
          <w:color w:val="262626"/>
          <w:kern w:val="36"/>
          <w:sz w:val="36"/>
          <w:szCs w:val="36"/>
          <w:lang w:val="en-US" w:eastAsia="zh-CN"/>
        </w:rPr>
      </w:pPr>
      <w:r>
        <w:rPr>
          <w:rFonts w:hint="eastAsia" w:ascii="黑体" w:hAnsi="黑体" w:eastAsia="黑体" w:cs="黑体"/>
          <w:b/>
          <w:bCs/>
          <w:color w:val="262626"/>
          <w:kern w:val="36"/>
          <w:sz w:val="36"/>
          <w:szCs w:val="36"/>
          <w:lang w:val="en-US" w:eastAsia="zh-CN"/>
        </w:rPr>
        <w:t>附件一</w:t>
      </w:r>
    </w:p>
    <w:p>
      <w:pPr>
        <w:widowControl/>
        <w:shd w:val="clear" w:color="auto" w:fill="FFFFFF"/>
        <w:spacing w:line="480" w:lineRule="atLeast"/>
        <w:ind w:firstLine="1446" w:firstLineChars="400"/>
        <w:textAlignment w:val="baseline"/>
        <w:rPr>
          <w:rFonts w:hint="eastAsia" w:ascii="黑体" w:hAnsi="黑体" w:eastAsia="黑体" w:cs="黑体"/>
          <w:b/>
          <w:bCs/>
          <w:color w:val="262626"/>
          <w:kern w:val="36"/>
          <w:sz w:val="36"/>
          <w:szCs w:val="36"/>
          <w:lang w:val="en-US" w:eastAsia="zh-CN"/>
        </w:rPr>
      </w:pPr>
      <w:r>
        <w:rPr>
          <w:rFonts w:hint="eastAsia" w:ascii="黑体" w:hAnsi="黑体" w:eastAsia="黑体" w:cs="黑体"/>
          <w:b/>
          <w:bCs/>
          <w:color w:val="262626"/>
          <w:kern w:val="36"/>
          <w:sz w:val="36"/>
          <w:szCs w:val="36"/>
          <w:lang w:val="en-US" w:eastAsia="zh-CN"/>
        </w:rPr>
        <w:t>会同县人民医院64排CT技术</w:t>
      </w:r>
    </w:p>
    <w:p>
      <w:pPr>
        <w:widowControl/>
        <w:shd w:val="clear" w:color="auto" w:fill="FFFFFF"/>
        <w:spacing w:line="480" w:lineRule="atLeast"/>
        <w:ind w:firstLine="2168" w:firstLineChars="600"/>
        <w:textAlignment w:val="baseline"/>
        <w:rPr>
          <w:rFonts w:hint="eastAsia" w:ascii="黑体" w:hAnsi="黑体" w:eastAsia="黑体" w:cs="黑体"/>
          <w:color w:val="666666"/>
          <w:kern w:val="0"/>
          <w:sz w:val="36"/>
          <w:szCs w:val="36"/>
        </w:rPr>
      </w:pPr>
      <w:r>
        <w:rPr>
          <w:rFonts w:hint="eastAsia" w:ascii="黑体" w:hAnsi="黑体" w:eastAsia="黑体" w:cs="黑体"/>
          <w:b/>
          <w:bCs/>
          <w:color w:val="262626"/>
          <w:kern w:val="36"/>
          <w:sz w:val="36"/>
          <w:szCs w:val="36"/>
          <w:lang w:val="en-US" w:eastAsia="zh-CN"/>
        </w:rPr>
        <w:t>维保服务采购需求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采购项目</w:t>
      </w:r>
      <w:r>
        <w:rPr>
          <w:rFonts w:hint="eastAsia" w:ascii="仿宋" w:hAnsi="仿宋" w:eastAsia="仿宋" w:cs="仿宋"/>
          <w:color w:val="000000" w:themeColor="text1"/>
          <w:sz w:val="28"/>
          <w:szCs w:val="28"/>
          <w:lang w:val="en-US" w:eastAsia="zh-CN"/>
          <w14:textFill>
            <w14:solidFill>
              <w14:schemeClr w14:val="tx1"/>
            </w14:solidFill>
          </w14:textFill>
        </w:rPr>
        <w:t>基本</w:t>
      </w:r>
      <w:r>
        <w:rPr>
          <w:rFonts w:hint="eastAsia" w:ascii="仿宋" w:hAnsi="仿宋" w:eastAsia="仿宋" w:cs="仿宋"/>
          <w:color w:val="000000" w:themeColor="text1"/>
          <w:sz w:val="28"/>
          <w:szCs w:val="28"/>
          <w14:textFill>
            <w14:solidFill>
              <w14:schemeClr w14:val="tx1"/>
            </w14:solidFill>
          </w14:textFill>
        </w:rPr>
        <w:t>信息</w:t>
      </w:r>
      <w:r>
        <w:rPr>
          <w:rFonts w:hint="eastAsia" w:ascii="仿宋" w:hAnsi="仿宋" w:eastAsia="仿宋" w:cs="仿宋"/>
          <w:color w:val="000000" w:themeColor="text1"/>
          <w:sz w:val="28"/>
          <w:szCs w:val="28"/>
          <w:lang w:eastAsia="zh-CN"/>
          <w14:textFill>
            <w14:solidFill>
              <w14:schemeClr w14:val="tx1"/>
            </w14:solidFill>
          </w14:textFill>
        </w:rPr>
        <w:t>：</w:t>
      </w:r>
    </w:p>
    <w:tbl>
      <w:tblPr>
        <w:tblStyle w:val="13"/>
        <w:tblW w:w="85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33"/>
        <w:gridCol w:w="2370"/>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jc w:val="center"/>
        </w:trPr>
        <w:tc>
          <w:tcPr>
            <w:tcW w:w="4433"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项目名称</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最高限价</w:t>
            </w:r>
            <w:r>
              <w:rPr>
                <w:rFonts w:hint="eastAsia" w:ascii="仿宋" w:hAnsi="仿宋" w:eastAsia="仿宋" w:cs="仿宋"/>
                <w:color w:val="000000" w:themeColor="text1"/>
                <w:sz w:val="28"/>
                <w:szCs w:val="28"/>
                <w14:textFill>
                  <w14:solidFill>
                    <w14:schemeClr w14:val="tx1"/>
                  </w14:solidFill>
                </w14:textFill>
              </w:rPr>
              <w:t>(万元)</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服务期限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64" w:hRule="atLeast"/>
          <w:jc w:val="center"/>
        </w:trPr>
        <w:tc>
          <w:tcPr>
            <w:tcW w:w="44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64排CT技术维保服务</w:t>
            </w:r>
          </w:p>
        </w:tc>
        <w:tc>
          <w:tcPr>
            <w:tcW w:w="23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6万元/年</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三年</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二、维保</w:t>
      </w:r>
      <w:r>
        <w:rPr>
          <w:rFonts w:hint="eastAsia" w:ascii="仿宋" w:hAnsi="仿宋" w:eastAsia="仿宋" w:cs="仿宋"/>
          <w:color w:val="000000" w:themeColor="text1"/>
          <w:sz w:val="28"/>
          <w:szCs w:val="28"/>
          <w:lang w:val="en-US" w:eastAsia="zh-CN"/>
          <w14:textFill>
            <w14:solidFill>
              <w14:schemeClr w14:val="tx1"/>
            </w14:solidFill>
          </w14:textFill>
        </w:rPr>
        <w:t>技术</w:t>
      </w:r>
      <w:r>
        <w:rPr>
          <w:rFonts w:hint="eastAsia" w:ascii="仿宋" w:hAnsi="仿宋" w:eastAsia="仿宋" w:cs="仿宋"/>
          <w:color w:val="000000" w:themeColor="text1"/>
          <w:sz w:val="28"/>
          <w:szCs w:val="28"/>
          <w14:textFill>
            <w14:solidFill>
              <w14:schemeClr w14:val="tx1"/>
            </w14:solidFill>
          </w14:textFill>
        </w:rPr>
        <w:t>服务内容</w:t>
      </w:r>
      <w:r>
        <w:rPr>
          <w:rFonts w:hint="eastAsia" w:ascii="仿宋" w:hAnsi="仿宋" w:eastAsia="仿宋" w:cs="仿宋"/>
          <w:color w:val="000000" w:themeColor="text1"/>
          <w:sz w:val="28"/>
          <w:szCs w:val="28"/>
          <w:lang w:val="en-US" w:eastAsia="zh-CN"/>
          <w14:textFill>
            <w14:solidFill>
              <w14:schemeClr w14:val="tx1"/>
            </w14:solidFill>
          </w14:textFill>
        </w:rPr>
        <w:t>及要求</w:t>
      </w:r>
      <w:r>
        <w:rPr>
          <w:rFonts w:hint="eastAsia" w:ascii="仿宋" w:hAnsi="仿宋" w:eastAsia="仿宋" w:cs="仿宋"/>
          <w:color w:val="000000" w:themeColor="text1"/>
          <w:sz w:val="28"/>
          <w:szCs w:val="28"/>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1、投标人或代理服务机构在我省至少设有1个维修服务机构，邻省不少于2个长期稳定的维修服务机构≥10年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▲2、投标人或代理服务机构在湖南省内服务机构需配备有全职的CT原厂认证合格的工程师至少两名，提供招标当年有效期的CT原厂工程师资质证明（提供证明材料）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▲3、投标人在服务期内需具备设备所有零备件供应能力，提供厂家授权函或合作协议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4.如需更换CT球管，所提供的球管需符合国家食品药品监督管理局SFDA原机整体注册证要求，提供球管与整机匹配的SFDA的认证报告及注册证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5、投标人或代理服务机构必须具备400客户服务24小时专线电话，全年365天开通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6、投标人或代理服务机构必须合法获得使用在有效期内的原厂service key，并保证不违法国家有关知识产权的规定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7、提供能及时获取并实施原厂系统安全性软硬件改版通知(FMI)能力的证明，保修期内免费提供设备(含独立工作站) 的系统软件升级补丁和技术支持，保证所有系统软件为最新版本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▲8、投标人或代理商服务机构提供数字化远程诊断与维修服务，基于专用路由器，宽带接入式的远端服务器实时自动监测，On Watch前瞻性预警服务,在线支持工程师每天会人工登录在保设备，协助发现设备潜在故障。 投标人提供基于宽带接入的原厂的 InSiteTM 数字化远程故障筛排系统，提前预知球管打火/预热失败/阳极旋转失效/灯丝断路，球管使用量；数据采集系统(Detector/DAS) 短路/断路， 工作温度超标，编码器失效；图像重建(Recon) 重建速度变慢，重建失败；硬盘(Hard disk)磁盘 阵列损坏；帮医院提早做计划，无计划外停机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9、提供不限次数的人工上门维修服务；</w:t>
      </w:r>
      <w:r>
        <w:rPr>
          <w:rFonts w:hint="default" w:ascii="仿宋" w:hAnsi="仿宋" w:eastAsia="仿宋" w:cs="仿宋"/>
          <w:color w:val="000000" w:themeColor="text1"/>
          <w:sz w:val="28"/>
          <w:szCs w:val="28"/>
          <w:lang w:val="en-US" w:eastAsia="zh-CN"/>
          <w14:textFill>
            <w14:solidFill>
              <w14:schemeClr w14:val="tx1"/>
            </w14:solidFill>
          </w14:textFill>
        </w:rPr>
        <w:t>提供</w:t>
      </w:r>
      <w:r>
        <w:rPr>
          <w:rFonts w:hint="eastAsia" w:ascii="仿宋" w:hAnsi="仿宋" w:eastAsia="仿宋" w:cs="仿宋"/>
          <w:color w:val="000000" w:themeColor="text1"/>
          <w:sz w:val="28"/>
          <w:szCs w:val="28"/>
          <w:lang w:val="en-US" w:eastAsia="zh-CN"/>
          <w14:textFill>
            <w14:solidFill>
              <w14:schemeClr w14:val="tx1"/>
            </w14:solidFill>
          </w14:textFill>
        </w:rPr>
        <w:t>一年至少</w:t>
      </w:r>
      <w:r>
        <w:rPr>
          <w:rFonts w:hint="default"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次的定期维护与保养。并按时提供年度季度服务总结报告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10、</w:t>
      </w:r>
      <w:r>
        <w:rPr>
          <w:rFonts w:hint="eastAsia" w:ascii="仿宋" w:hAnsi="仿宋" w:eastAsia="仿宋" w:cs="仿宋"/>
          <w:color w:val="000000" w:themeColor="text1"/>
          <w:sz w:val="28"/>
          <w:szCs w:val="28"/>
          <w:lang w:val="en-US" w:eastAsia="zh-CN"/>
          <w14:textFill>
            <w14:solidFill>
              <w14:schemeClr w14:val="tx1"/>
            </w14:solidFill>
          </w14:textFill>
        </w:rPr>
        <w:t>24小时电话随时响应；如遇电话</w:t>
      </w:r>
      <w:r>
        <w:rPr>
          <w:rFonts w:hint="default" w:ascii="仿宋" w:hAnsi="仿宋" w:eastAsia="仿宋" w:cs="仿宋"/>
          <w:color w:val="000000" w:themeColor="text1"/>
          <w:sz w:val="28"/>
          <w:szCs w:val="28"/>
          <w:lang w:val="en-US" w:eastAsia="zh-CN"/>
          <w14:textFill>
            <w14:solidFill>
              <w14:schemeClr w14:val="tx1"/>
            </w14:solidFill>
          </w14:textFill>
        </w:rPr>
        <w:t>或在线</w:t>
      </w:r>
      <w:r>
        <w:rPr>
          <w:rFonts w:hint="eastAsia" w:ascii="仿宋" w:hAnsi="仿宋" w:eastAsia="仿宋" w:cs="仿宋"/>
          <w:color w:val="000000" w:themeColor="text1"/>
          <w:sz w:val="28"/>
          <w:szCs w:val="28"/>
          <w:lang w:val="en-US" w:eastAsia="zh-CN"/>
          <w14:textFill>
            <w14:solidFill>
              <w14:schemeClr w14:val="tx1"/>
            </w14:solidFill>
          </w14:textFill>
        </w:rPr>
        <w:t>不能解决的问题，工程师需在2</w:t>
      </w:r>
      <w:r>
        <w:rPr>
          <w:rFonts w:hint="default" w:ascii="仿宋" w:hAnsi="仿宋" w:eastAsia="仿宋" w:cs="仿宋"/>
          <w:color w:val="000000" w:themeColor="text1"/>
          <w:sz w:val="28"/>
          <w:szCs w:val="28"/>
          <w:lang w:val="en-US" w:eastAsia="zh-CN"/>
          <w14:textFill>
            <w14:solidFill>
              <w14:schemeClr w14:val="tx1"/>
            </w14:solidFill>
          </w14:textFill>
        </w:rPr>
        <w:t>4</w:t>
      </w:r>
      <w:r>
        <w:rPr>
          <w:rFonts w:hint="eastAsia" w:ascii="仿宋" w:hAnsi="仿宋" w:eastAsia="仿宋" w:cs="仿宋"/>
          <w:color w:val="000000" w:themeColor="text1"/>
          <w:sz w:val="28"/>
          <w:szCs w:val="28"/>
          <w:lang w:val="en-US" w:eastAsia="zh-CN"/>
          <w14:textFill>
            <w14:solidFill>
              <w14:schemeClr w14:val="tx1"/>
            </w14:solidFill>
          </w14:textFill>
        </w:rPr>
        <w:t>小时内到</w:t>
      </w:r>
      <w:r>
        <w:rPr>
          <w:rFonts w:hint="default" w:ascii="仿宋" w:hAnsi="仿宋" w:eastAsia="仿宋" w:cs="仿宋"/>
          <w:color w:val="000000" w:themeColor="text1"/>
          <w:sz w:val="28"/>
          <w:szCs w:val="28"/>
          <w:lang w:val="en-US" w:eastAsia="zh-CN"/>
          <w14:textFill>
            <w14:solidFill>
              <w14:schemeClr w14:val="tx1"/>
            </w14:solidFill>
          </w14:textFill>
        </w:rPr>
        <w:t>达</w:t>
      </w:r>
      <w:r>
        <w:rPr>
          <w:rFonts w:hint="eastAsia" w:ascii="仿宋" w:hAnsi="仿宋" w:eastAsia="仿宋" w:cs="仿宋"/>
          <w:color w:val="000000" w:themeColor="text1"/>
          <w:sz w:val="28"/>
          <w:szCs w:val="28"/>
          <w:lang w:val="en-US" w:eastAsia="zh-CN"/>
          <w14:textFill>
            <w14:solidFill>
              <w14:schemeClr w14:val="tx1"/>
            </w14:solidFill>
          </w14:textFill>
        </w:rPr>
        <w:t>现场，</w:t>
      </w:r>
      <w:r>
        <w:rPr>
          <w:rFonts w:hint="default" w:ascii="仿宋" w:hAnsi="仿宋" w:eastAsia="仿宋" w:cs="仿宋"/>
          <w:color w:val="000000" w:themeColor="text1"/>
          <w:sz w:val="28"/>
          <w:szCs w:val="28"/>
          <w:lang w:val="en-US" w:eastAsia="zh-CN"/>
          <w14:textFill>
            <w14:solidFill>
              <w14:schemeClr w14:val="tx1"/>
            </w14:solidFill>
          </w14:textFill>
        </w:rPr>
        <w:t>须保证</w:t>
      </w:r>
      <w:r>
        <w:rPr>
          <w:rFonts w:hint="eastAsia" w:ascii="仿宋" w:hAnsi="仿宋" w:eastAsia="仿宋" w:cs="仿宋"/>
          <w:color w:val="000000" w:themeColor="text1"/>
          <w:sz w:val="28"/>
          <w:szCs w:val="28"/>
          <w:lang w:val="en-US" w:eastAsia="zh-CN"/>
          <w14:textFill>
            <w14:solidFill>
              <w14:schemeClr w14:val="tx1"/>
            </w14:solidFill>
          </w14:textFill>
        </w:rPr>
        <w:t>设备开机率达到9</w:t>
      </w:r>
      <w:r>
        <w:rPr>
          <w:rFonts w:hint="default"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val="en-US" w:eastAsia="zh-CN"/>
          <w14:textFill>
            <w14:solidFill>
              <w14:schemeClr w14:val="tx1"/>
            </w14:solidFill>
          </w14:textFill>
        </w:rPr>
        <w:t>%以上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default" w:ascii="仿宋" w:hAnsi="仿宋" w:eastAsia="仿宋" w:cs="仿宋"/>
          <w:color w:val="000000" w:themeColor="text1"/>
          <w:sz w:val="28"/>
          <w:szCs w:val="28"/>
          <w:lang w:val="en-US" w:eastAsia="zh-CN"/>
          <w14:textFill>
            <w14:solidFill>
              <w14:schemeClr w14:val="tx1"/>
            </w14:solidFill>
          </w14:textFill>
        </w:rPr>
      </w:pPr>
      <w:r>
        <w:rPr>
          <w:rFonts w:hint="default" w:ascii="仿宋" w:hAnsi="仿宋" w:eastAsia="仿宋" w:cs="仿宋"/>
          <w:color w:val="000000" w:themeColor="text1"/>
          <w:sz w:val="28"/>
          <w:szCs w:val="28"/>
          <w:lang w:val="en-US" w:eastAsia="zh-CN"/>
          <w14:textFill>
            <w14:solidFill>
              <w14:schemeClr w14:val="tx1"/>
            </w14:solidFill>
          </w14:textFill>
        </w:rPr>
        <w:t>▲11、投标人或所代理的服务机构拥有全职的原厂认证合格的CT、MR临床应用培训人员，并能以现场的和远程的形式，提供临床扫描、图像处理和相应业务拓展的专业支持。提供当年有效期内的资质证明。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N/>
        <w:bidi w:val="0"/>
        <w:snapToGrid w:val="0"/>
        <w:spacing w:before="0" w:beforeAutospacing="0" w:after="0" w:afterAutospacing="0" w:line="360" w:lineRule="auto"/>
        <w:ind w:left="0" w:leftChars="0" w:right="0" w:rightChars="0" w:firstLine="150" w:firstLineChars="50"/>
        <w:jc w:val="left"/>
        <w:textAlignment w:val="baseline"/>
        <w:rPr>
          <w:rFonts w:hint="eastAsia" w:ascii="仿宋" w:hAnsi="仿宋" w:eastAsia="仿宋" w:cs="仿宋"/>
          <w:b w:val="0"/>
          <w:color w:val="000000"/>
          <w:sz w:val="30"/>
          <w:szCs w:val="30"/>
          <w:lang w:val="en-US" w:eastAsia="zh-CN"/>
        </w:rPr>
      </w:pPr>
    </w:p>
    <w:p>
      <w:pPr>
        <w:spacing w:before="29" w:line="221" w:lineRule="auto"/>
        <w:rPr>
          <w:rFonts w:hint="eastAsia" w:ascii="宋体" w:hAnsi="宋体" w:eastAsia="宋体" w:cs="宋体"/>
          <w:b/>
          <w:sz w:val="28"/>
          <w:szCs w:val="28"/>
        </w:rPr>
      </w:pPr>
      <w:r>
        <w:rPr>
          <w:rFonts w:ascii="宋体" w:hAnsi="宋体" w:eastAsia="宋体" w:cs="宋体"/>
          <w:color w:val="000000" w:themeColor="text1"/>
          <w:spacing w:val="-5"/>
          <w:sz w:val="28"/>
          <w:szCs w:val="28"/>
          <w14:textFill>
            <w14:solidFill>
              <w14:schemeClr w14:val="tx1"/>
            </w14:solidFill>
          </w14:textFill>
        </w:rPr>
        <w:t>评审标准</w:t>
      </w:r>
    </w:p>
    <w:tbl>
      <w:tblPr>
        <w:tblStyle w:val="18"/>
        <w:tblpPr w:leftFromText="180" w:rightFromText="180" w:vertAnchor="text" w:horzAnchor="page" w:tblpX="1121" w:tblpY="9"/>
        <w:tblOverlap w:val="never"/>
        <w:tblW w:w="988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82"/>
        <w:gridCol w:w="834"/>
        <w:gridCol w:w="705"/>
        <w:gridCol w:w="6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6" w:hRule="atLeast"/>
        </w:trPr>
        <w:tc>
          <w:tcPr>
            <w:tcW w:w="578" w:type="dxa"/>
            <w:textDirection w:val="tbRlV"/>
          </w:tcPr>
          <w:p>
            <w:pPr>
              <w:spacing w:before="181" w:line="211" w:lineRule="auto"/>
              <w:ind w:left="130"/>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15"/>
                <w14:textOutline w14:w="3834" w14:cap="flat" w14:cmpd="sng">
                  <w14:solidFill>
                    <w14:srgbClr w14:val="000000"/>
                  </w14:solidFill>
                  <w14:prstDash w14:val="solid"/>
                  <w14:miter w14:val="0"/>
                </w14:textOutline>
                <w14:textFill>
                  <w14:solidFill>
                    <w14:schemeClr w14:val="tx1"/>
                  </w14:solidFill>
                </w14:textFill>
              </w:rPr>
              <w:t>序</w:t>
            </w:r>
            <w:r>
              <w:rPr>
                <w:rFonts w:ascii="宋体" w:hAnsi="宋体" w:eastAsia="宋体" w:cs="宋体"/>
                <w:color w:val="000000" w:themeColor="text1"/>
                <w:spacing w:val="-14"/>
                <w14:textFill>
                  <w14:solidFill>
                    <w14:schemeClr w14:val="tx1"/>
                  </w14:solidFill>
                </w14:textFill>
              </w:rPr>
              <w:t xml:space="preserve"> </w:t>
            </w:r>
            <w:r>
              <w:rPr>
                <w:rFonts w:ascii="宋体" w:hAnsi="宋体" w:eastAsia="宋体" w:cs="宋体"/>
                <w:color w:val="000000" w:themeColor="text1"/>
                <w:spacing w:val="-14"/>
                <w14:textOutline w14:w="3834" w14:cap="flat" w14:cmpd="sng">
                  <w14:solidFill>
                    <w14:srgbClr w14:val="000000"/>
                  </w14:solidFill>
                  <w14:prstDash w14:val="solid"/>
                  <w14:miter w14:val="0"/>
                </w14:textOutline>
                <w14:textFill>
                  <w14:solidFill>
                    <w14:schemeClr w14:val="tx1"/>
                  </w14:solidFill>
                </w14:textFill>
              </w:rPr>
              <w:t>号</w:t>
            </w:r>
          </w:p>
        </w:tc>
        <w:tc>
          <w:tcPr>
            <w:tcW w:w="1616" w:type="dxa"/>
            <w:gridSpan w:val="2"/>
          </w:tcPr>
          <w:p>
            <w:pPr>
              <w:spacing w:before="264" w:line="221" w:lineRule="auto"/>
              <w:ind w:left="665"/>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1"/>
                <w14:textOutline w14:w="3834" w14:cap="flat" w14:cmpd="sng">
                  <w14:solidFill>
                    <w14:srgbClr w14:val="000000"/>
                  </w14:solidFill>
                  <w14:prstDash w14:val="solid"/>
                  <w14:miter w14:val="0"/>
                </w14:textOutline>
                <w14:textFill>
                  <w14:solidFill>
                    <w14:schemeClr w14:val="tx1"/>
                  </w14:solidFill>
                </w14:textFill>
              </w:rPr>
              <w:t>评审</w:t>
            </w:r>
            <w:r>
              <w:rPr>
                <w:rFonts w:ascii="宋体" w:hAnsi="宋体" w:eastAsia="宋体" w:cs="宋体"/>
                <w:color w:val="000000" w:themeColor="text1"/>
                <w14:textOutline w14:w="3834" w14:cap="flat" w14:cmpd="sng">
                  <w14:solidFill>
                    <w14:srgbClr w14:val="000000"/>
                  </w14:solidFill>
                  <w14:prstDash w14:val="solid"/>
                  <w14:miter w14:val="0"/>
                </w14:textOutline>
                <w14:textFill>
                  <w14:solidFill>
                    <w14:schemeClr w14:val="tx1"/>
                  </w14:solidFill>
                </w14:textFill>
              </w:rPr>
              <w:t>内容</w:t>
            </w:r>
          </w:p>
        </w:tc>
        <w:tc>
          <w:tcPr>
            <w:tcW w:w="705" w:type="dxa"/>
          </w:tcPr>
          <w:p>
            <w:pPr>
              <w:spacing w:before="264" w:line="221" w:lineRule="auto"/>
              <w:ind w:left="156"/>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3"/>
                <w14:textOutline w14:w="3834" w14:cap="flat" w14:cmpd="sng">
                  <w14:solidFill>
                    <w14:srgbClr w14:val="000000"/>
                  </w14:solidFill>
                  <w14:prstDash w14:val="solid"/>
                  <w14:miter w14:val="0"/>
                </w14:textOutline>
                <w14:textFill>
                  <w14:solidFill>
                    <w14:schemeClr w14:val="tx1"/>
                  </w14:solidFill>
                </w14:textFill>
              </w:rPr>
              <w:t>分</w:t>
            </w:r>
            <w:r>
              <w:rPr>
                <w:rFonts w:ascii="宋体" w:hAnsi="宋体" w:eastAsia="宋体" w:cs="宋体"/>
                <w:color w:val="000000" w:themeColor="text1"/>
                <w:spacing w:val="-2"/>
                <w14:textOutline w14:w="3834" w14:cap="flat" w14:cmpd="sng">
                  <w14:solidFill>
                    <w14:srgbClr w14:val="000000"/>
                  </w14:solidFill>
                  <w14:prstDash w14:val="solid"/>
                  <w14:miter w14:val="0"/>
                </w14:textOutline>
                <w14:textFill>
                  <w14:solidFill>
                    <w14:schemeClr w14:val="tx1"/>
                  </w14:solidFill>
                </w14:textFill>
              </w:rPr>
              <w:t>值</w:t>
            </w:r>
          </w:p>
        </w:tc>
        <w:tc>
          <w:tcPr>
            <w:tcW w:w="6982" w:type="dxa"/>
          </w:tcPr>
          <w:p>
            <w:pPr>
              <w:spacing w:before="264" w:line="221" w:lineRule="auto"/>
              <w:ind w:left="3192"/>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spacing w:val="-1"/>
                <w14:textOutline w14:w="3834" w14:cap="flat" w14:cmpd="sng">
                  <w14:solidFill>
                    <w14:srgbClr w14:val="000000"/>
                  </w14:solidFill>
                  <w14:prstDash w14:val="solid"/>
                  <w14:miter w14:val="0"/>
                </w14:textOutline>
                <w14:textFill>
                  <w14:solidFill>
                    <w14:schemeClr w14:val="tx1"/>
                  </w14:solidFill>
                </w14:textFill>
              </w:rPr>
              <w:t>评审</w:t>
            </w:r>
            <w:r>
              <w:rPr>
                <w:rFonts w:ascii="宋体" w:hAnsi="宋体" w:eastAsia="宋体" w:cs="宋体"/>
                <w:color w:val="000000" w:themeColor="text1"/>
                <w14:textOutline w14:w="3834" w14:cap="flat" w14:cmpd="sng">
                  <w14:solidFill>
                    <w14:srgbClr w14:val="000000"/>
                  </w14:solidFill>
                  <w14:prstDash w14:val="solid"/>
                  <w14:miter w14:val="0"/>
                </w14:textOutline>
                <w14:textFill>
                  <w14:solidFill>
                    <w14:schemeClr w14:val="tx1"/>
                  </w14:solidFill>
                </w14:textFill>
              </w:rPr>
              <w:t>因素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578" w:type="dxa"/>
          </w:tcPr>
          <w:p>
            <w:pPr>
              <w:rPr>
                <w:color w:val="000000" w:themeColor="text1"/>
                <w14:textFill>
                  <w14:solidFill>
                    <w14:schemeClr w14:val="tx1"/>
                  </w14:solidFill>
                </w14:textFill>
              </w:rPr>
            </w:pPr>
            <w:r>
              <w:rPr>
                <w:color w:val="000000" w:themeColor="text1"/>
                <w14:textFill>
                  <w14:solidFill>
                    <w14:schemeClr w14:val="tx1"/>
                  </w14:solidFill>
                </w14:textFill>
              </w:rPr>
              <w:t>1</w:t>
            </w:r>
          </w:p>
        </w:tc>
        <w:tc>
          <w:tcPr>
            <w:tcW w:w="7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lang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价格</w:t>
            </w:r>
            <w:r>
              <w:rPr>
                <w:rFonts w:hint="eastAsia" w:ascii="仿宋" w:hAnsi="仿宋" w:eastAsia="仿宋" w:cs="仿宋"/>
                <w:color w:val="000000" w:themeColor="text1"/>
                <w:sz w:val="28"/>
                <w:szCs w:val="28"/>
                <w:lang w:val="en-US" w:eastAsia="zh-CN"/>
                <w14:textFill>
                  <w14:solidFill>
                    <w14:schemeClr w14:val="tx1"/>
                  </w14:solidFill>
                </w14:textFill>
              </w:rPr>
              <w:t>部分</w:t>
            </w: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价格</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lang w:val="en-US"/>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lang w:val="en-US"/>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0</w:t>
            </w: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经评委会一致认定满足</w:t>
            </w:r>
            <w:r>
              <w:rPr>
                <w:rFonts w:hint="eastAsia" w:ascii="仿宋" w:hAnsi="仿宋" w:eastAsia="仿宋" w:cs="仿宋"/>
                <w:color w:val="000000" w:themeColor="text1"/>
                <w:sz w:val="28"/>
                <w:szCs w:val="28"/>
                <w:lang w:val="en-US" w:eastAsia="zh-CN"/>
                <w14:textFill>
                  <w14:solidFill>
                    <w14:schemeClr w14:val="tx1"/>
                  </w14:solidFill>
                </w14:textFill>
              </w:rPr>
              <w:t>院内公开招标</w:t>
            </w:r>
            <w:r>
              <w:rPr>
                <w:rFonts w:hint="eastAsia" w:ascii="仿宋" w:hAnsi="仿宋" w:eastAsia="仿宋" w:cs="仿宋"/>
                <w:color w:val="000000" w:themeColor="text1"/>
                <w:sz w:val="28"/>
                <w:szCs w:val="28"/>
                <w14:textFill>
                  <w14:solidFill>
                    <w14:schemeClr w14:val="tx1"/>
                  </w14:solidFill>
                </w14:textFill>
              </w:rPr>
              <w:t>文件要求且投标价格最低的投标报价为评标基准价，其价格得分计</w:t>
            </w:r>
            <w:r>
              <w:rPr>
                <w:rFonts w:hint="eastAsia" w:ascii="仿宋" w:hAnsi="仿宋" w:eastAsia="仿宋" w:cs="仿宋"/>
                <w:color w:val="000000" w:themeColor="text1"/>
                <w:sz w:val="28"/>
                <w:szCs w:val="28"/>
                <w:lang w:val="en-US" w:eastAsia="zh-CN"/>
                <w14:textFill>
                  <w14:solidFill>
                    <w14:schemeClr w14:val="tx1"/>
                  </w14:solidFill>
                </w14:textFill>
              </w:rPr>
              <w:t>20</w:t>
            </w:r>
            <w:r>
              <w:rPr>
                <w:rFonts w:hint="eastAsia" w:ascii="仿宋" w:hAnsi="仿宋" w:eastAsia="仿宋" w:cs="仿宋"/>
                <w:color w:val="000000" w:themeColor="text1"/>
                <w:sz w:val="28"/>
                <w:szCs w:val="28"/>
                <w14:textFill>
                  <w14:solidFill>
                    <w14:schemeClr w14:val="tx1"/>
                  </w14:solidFill>
                </w14:textFill>
              </w:rPr>
              <w:t xml:space="preserve">分。其他供应商的价格得分统一按 </w:t>
            </w:r>
            <w:r>
              <w:rPr>
                <w:rFonts w:hint="eastAsia" w:ascii="仿宋" w:hAnsi="仿宋" w:eastAsia="仿宋" w:cs="仿宋"/>
                <w:b w:val="0"/>
                <w:bCs w:val="0"/>
                <w:color w:val="000000" w:themeColor="text1"/>
                <w:kern w:val="0"/>
                <w:sz w:val="28"/>
                <w:szCs w:val="28"/>
                <w:lang w:val="en-US" w:eastAsia="zh-CN" w:bidi="ar"/>
                <w14:textFill>
                  <w14:solidFill>
                    <w14:schemeClr w14:val="tx1"/>
                  </w14:solidFill>
                </w14:textFill>
              </w:rPr>
              <w:t>按照下列公式计算：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0" w:beforeAutospacing="0" w:afterAutospacing="0" w:line="240" w:lineRule="auto"/>
              <w:ind w:left="0" w:right="0" w:rightChars="0"/>
              <w:jc w:val="left"/>
              <w:textAlignment w:val="top"/>
              <w:outlineLvl w:val="9"/>
              <w:rPr>
                <w:rFonts w:hint="eastAsia" w:ascii="仿宋" w:hAnsi="仿宋" w:eastAsia="仿宋" w:cs="仿宋"/>
                <w:b w:val="0"/>
                <w:bCs w:val="0"/>
                <w:color w:val="000000" w:themeColor="text1"/>
                <w:kern w:val="0"/>
                <w:sz w:val="28"/>
                <w:szCs w:val="28"/>
                <w:lang w:val="en-US" w:eastAsia="zh-CN" w:bidi="ar"/>
                <w14:textFill>
                  <w14:solidFill>
                    <w14:schemeClr w14:val="tx1"/>
                  </w14:solidFill>
                </w14:textFill>
              </w:rPr>
            </w:pPr>
            <w:r>
              <w:rPr>
                <w:rFonts w:hint="eastAsia" w:ascii="仿宋" w:hAnsi="仿宋" w:eastAsia="仿宋" w:cs="仿宋"/>
                <w:b w:val="0"/>
                <w:bCs w:val="0"/>
                <w:color w:val="000000" w:themeColor="text1"/>
                <w:kern w:val="0"/>
                <w:sz w:val="28"/>
                <w:szCs w:val="28"/>
                <w:lang w:val="en-US" w:eastAsia="zh-CN" w:bidi="ar"/>
                <w14:textFill>
                  <w14:solidFill>
                    <w14:schemeClr w14:val="tx1"/>
                  </w14:solidFill>
                </w14:textFill>
              </w:rPr>
              <w:t>投标报价得分=(评标基准价÷投标报价)×20</w:t>
            </w:r>
          </w:p>
          <w:p>
            <w:pPr>
              <w:tabs>
                <w:tab w:val="left" w:pos="225"/>
              </w:tabs>
              <w:spacing w:before="25" w:line="246" w:lineRule="auto"/>
              <w:ind w:left="112" w:right="172" w:firstLine="2"/>
              <w:jc w:val="left"/>
              <w:rPr>
                <w:rFonts w:ascii="宋体" w:hAnsi="宋体" w:eastAsia="宋体" w:cs="宋体"/>
                <w:color w:val="000000" w:themeColor="text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2" w:hRule="atLeast"/>
        </w:trPr>
        <w:tc>
          <w:tcPr>
            <w:tcW w:w="578" w:type="dxa"/>
            <w:vMerge w:val="restart"/>
            <w:tcBorders>
              <w:bottom w:val="nil"/>
            </w:tcBorders>
          </w:tcPr>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41" w:lineRule="auto"/>
              <w:rPr>
                <w:color w:val="000000" w:themeColor="text1"/>
                <w14:textFill>
                  <w14:solidFill>
                    <w14:schemeClr w14:val="tx1"/>
                  </w14:solidFill>
                </w14:textFill>
              </w:rPr>
            </w:pPr>
          </w:p>
          <w:p>
            <w:pPr>
              <w:spacing w:before="68" w:line="185" w:lineRule="auto"/>
              <w:ind w:left="243"/>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2</w:t>
            </w:r>
          </w:p>
        </w:tc>
        <w:tc>
          <w:tcPr>
            <w:tcW w:w="782" w:type="dxa"/>
            <w:vMerge w:val="restart"/>
            <w:tcBorders>
              <w:bottom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10" w:firstLineChars="10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技术</w:t>
            </w:r>
          </w:p>
          <w:p>
            <w:pPr>
              <w:pStyle w:val="2"/>
              <w:rPr>
                <w:rFonts w:hint="eastAsia" w:eastAsia="仿宋_GB2312"/>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部分</w:t>
            </w:r>
          </w:p>
          <w:p>
            <w:pPr>
              <w:pStyle w:val="2"/>
              <w:rPr>
                <w:rFonts w:hint="eastAsia"/>
                <w:color w:val="000000" w:themeColor="text1"/>
                <w14:textFill>
                  <w14:solidFill>
                    <w14:schemeClr w14:val="tx1"/>
                  </w14:solidFill>
                </w14:textFill>
              </w:rPr>
            </w:pP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技术</w:t>
            </w:r>
            <w:r>
              <w:rPr>
                <w:rFonts w:hint="eastAsia" w:ascii="仿宋" w:hAnsi="仿宋" w:eastAsia="仿宋" w:cs="仿宋"/>
                <w:color w:val="000000" w:themeColor="text1"/>
                <w:sz w:val="28"/>
                <w:szCs w:val="28"/>
                <w:lang w:val="en-US" w:eastAsia="zh-CN"/>
                <w14:textFill>
                  <w14:solidFill>
                    <w14:schemeClr w14:val="tx1"/>
                  </w14:solidFill>
                </w14:textFill>
              </w:rPr>
              <w:t>指标</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0</w:t>
            </w: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1、技术指标全部满足</w:t>
            </w:r>
            <w:r>
              <w:rPr>
                <w:rFonts w:hint="eastAsia" w:ascii="仿宋" w:hAnsi="仿宋" w:eastAsia="仿宋" w:cs="仿宋"/>
                <w:color w:val="000000" w:themeColor="text1"/>
                <w:sz w:val="28"/>
                <w:szCs w:val="28"/>
                <w:lang w:eastAsia="zh-CN"/>
                <w14:textFill>
                  <w14:solidFill>
                    <w14:schemeClr w14:val="tx1"/>
                  </w14:solidFill>
                </w14:textFill>
              </w:rPr>
              <w:t>或优于</w:t>
            </w:r>
            <w:r>
              <w:rPr>
                <w:rFonts w:hint="eastAsia" w:ascii="仿宋" w:hAnsi="仿宋" w:eastAsia="仿宋" w:cs="仿宋"/>
                <w:color w:val="000000" w:themeColor="text1"/>
                <w:sz w:val="28"/>
                <w:szCs w:val="28"/>
                <w14:textFill>
                  <w14:solidFill>
                    <w14:schemeClr w14:val="tx1"/>
                  </w14:solidFill>
                </w14:textFill>
              </w:rPr>
              <w:t xml:space="preserve">招标文件要求的得 </w:t>
            </w:r>
            <w:r>
              <w:rPr>
                <w:rFonts w:hint="eastAsia" w:ascii="仿宋" w:hAnsi="仿宋" w:eastAsia="仿宋" w:cs="仿宋"/>
                <w:color w:val="000000" w:themeColor="text1"/>
                <w:sz w:val="28"/>
                <w:szCs w:val="28"/>
                <w:lang w:val="en-US"/>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 xml:space="preserve">0分。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2、未标注 “▲”号的一般性技术参数不满足招标要求的， 每一项</w:t>
            </w:r>
            <w:r>
              <w:rPr>
                <w:rFonts w:hint="eastAsia" w:ascii="仿宋" w:hAnsi="仿宋" w:eastAsia="仿宋" w:cs="仿宋"/>
                <w:color w:val="000000" w:themeColor="text1"/>
                <w:sz w:val="28"/>
                <w:szCs w:val="28"/>
                <w:lang w:eastAsia="zh-CN"/>
                <w14:textFill>
                  <w14:solidFill>
                    <w14:schemeClr w14:val="tx1"/>
                  </w14:solidFill>
                </w14:textFill>
              </w:rPr>
              <w:t>扣</w:t>
            </w:r>
            <w:r>
              <w:rPr>
                <w:rFonts w:hint="default"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 3、标注“▲”号的重要性技术参数不满足招标要求的，每一项</w:t>
            </w:r>
            <w:r>
              <w:rPr>
                <w:rFonts w:hint="eastAsia" w:ascii="仿宋" w:hAnsi="仿宋" w:eastAsia="仿宋" w:cs="仿宋"/>
                <w:color w:val="000000" w:themeColor="text1"/>
                <w:sz w:val="28"/>
                <w:szCs w:val="28"/>
                <w:lang w:eastAsia="zh-CN"/>
                <w14:textFill>
                  <w14:solidFill>
                    <w14:schemeClr w14:val="tx1"/>
                  </w14:solidFill>
                </w14:textFill>
              </w:rPr>
              <w:t>扣</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分</w:t>
            </w:r>
            <w:r>
              <w:rPr>
                <w:rFonts w:hint="eastAsia" w:ascii="仿宋" w:hAnsi="仿宋" w:eastAsia="仿宋" w:cs="仿宋"/>
                <w:color w:val="000000" w:themeColor="text1"/>
                <w:sz w:val="28"/>
                <w:szCs w:val="28"/>
                <w:lang w:eastAsia="zh-CN"/>
                <w14:textFill>
                  <w14:solidFill>
                    <w14:schemeClr w14:val="tx1"/>
                  </w14:solidFill>
                </w14:textFill>
              </w:rPr>
              <w:t>，扣完为止。</w:t>
            </w:r>
            <w:r>
              <w:rPr>
                <w:rFonts w:hint="eastAsia" w:ascii="仿宋" w:hAnsi="仿宋" w:eastAsia="仿宋" w:cs="仿宋"/>
                <w:color w:val="000000" w:themeColor="text1"/>
                <w:sz w:val="28"/>
                <w:szCs w:val="28"/>
                <w14:textFill>
                  <w14:solidFill>
                    <w14:schemeClr w14:val="tx1"/>
                  </w14:solidFill>
                </w14:textFill>
              </w:rPr>
              <w:t xml:space="preserve">   注：投标人在技术响应中提供证明材料并标注对应页码， 否则视为不满足。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88" w:hRule="atLeast"/>
        </w:trPr>
        <w:tc>
          <w:tcPr>
            <w:tcW w:w="578" w:type="dxa"/>
            <w:vMerge w:val="continue"/>
            <w:tcBorders>
              <w:top w:val="nil"/>
              <w:bottom w:val="nil"/>
            </w:tcBorders>
          </w:tcPr>
          <w:p>
            <w:pPr>
              <w:rPr>
                <w:color w:val="000000" w:themeColor="text1"/>
                <w14:textFill>
                  <w14:solidFill>
                    <w14:schemeClr w14:val="tx1"/>
                  </w14:solidFill>
                </w14:textFill>
              </w:rPr>
            </w:pPr>
          </w:p>
        </w:tc>
        <w:tc>
          <w:tcPr>
            <w:tcW w:w="782" w:type="dxa"/>
            <w:vMerge w:val="continue"/>
            <w:tcBorders>
              <w:top w:val="nil"/>
              <w:bottom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维保方案</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sz w:val="28"/>
                <w:szCs w:val="28"/>
                <w:lang w:val="en-US"/>
                <w14:textFill>
                  <w14:solidFill>
                    <w14:schemeClr w14:val="tx1"/>
                  </w14:solidFill>
                </w14:textFill>
              </w:rPr>
              <w:t>5</w:t>
            </w: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根据供应商针对本项目特点制定维保方案进行评比；方案中需包含本项目维 保工作范围内容、定期保养服务计划、操作规程等，方案切合实际、全面、 科学、高度契合采购要求的得 1</w:t>
            </w:r>
            <w:r>
              <w:rPr>
                <w:rFonts w:hint="eastAsia" w:ascii="仿宋" w:hAnsi="仿宋" w:eastAsia="仿宋" w:cs="仿宋"/>
                <w:color w:val="000000" w:themeColor="text1"/>
                <w:sz w:val="28"/>
                <w:szCs w:val="28"/>
                <w:lang w:val="en-US"/>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 xml:space="preserve"> 分； 方案基本合理，较为全面，并基本满足 采购要求的得 </w:t>
            </w:r>
            <w:r>
              <w:rPr>
                <w:rFonts w:hint="eastAsia" w:ascii="仿宋" w:hAnsi="仿宋" w:eastAsia="仿宋" w:cs="仿宋"/>
                <w:color w:val="000000" w:themeColor="text1"/>
                <w:sz w:val="28"/>
                <w:szCs w:val="28"/>
                <w:lang w:val="en-US"/>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 xml:space="preserve">分； 方案合理性及全面性较差的得 </w:t>
            </w:r>
            <w:r>
              <w:rPr>
                <w:rFonts w:hint="eastAsia" w:ascii="仿宋" w:hAnsi="仿宋" w:eastAsia="仿宋" w:cs="仿宋"/>
                <w:color w:val="000000" w:themeColor="text1"/>
                <w:sz w:val="28"/>
                <w:szCs w:val="28"/>
                <w:lang w:val="en-US"/>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分， 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46" w:hRule="atLeast"/>
        </w:trPr>
        <w:tc>
          <w:tcPr>
            <w:tcW w:w="578" w:type="dxa"/>
            <w:vMerge w:val="continue"/>
            <w:tcBorders>
              <w:top w:val="nil"/>
              <w:bottom w:val="nil"/>
            </w:tcBorders>
          </w:tcPr>
          <w:p>
            <w:pPr>
              <w:rPr>
                <w:color w:val="000000" w:themeColor="text1"/>
                <w14:textFill>
                  <w14:solidFill>
                    <w14:schemeClr w14:val="tx1"/>
                  </w14:solidFill>
                </w14:textFill>
              </w:rPr>
            </w:pPr>
          </w:p>
        </w:tc>
        <w:tc>
          <w:tcPr>
            <w:tcW w:w="782" w:type="dxa"/>
            <w:vMerge w:val="continue"/>
            <w:tcBorders>
              <w:top w:val="nil"/>
              <w:bottom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应急保障 预案</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14:textFill>
                  <w14:solidFill>
                    <w14:schemeClr w14:val="tx1"/>
                  </w14:solidFill>
                </w14:textFill>
              </w:rPr>
              <w:t>10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根据供应商提供针对本项目应急保障预案进行评比；预案科学、合理、全面 的得 </w:t>
            </w:r>
            <w:r>
              <w:rPr>
                <w:rFonts w:hint="eastAsia" w:ascii="仿宋" w:hAnsi="仿宋" w:eastAsia="仿宋" w:cs="仿宋"/>
                <w:color w:val="000000" w:themeColor="text1"/>
                <w:sz w:val="28"/>
                <w:szCs w:val="28"/>
                <w:lang w:val="en-US"/>
                <w14:textFill>
                  <w14:solidFill>
                    <w14:schemeClr w14:val="tx1"/>
                  </w14:solidFill>
                </w14:textFill>
              </w:rPr>
              <w:t>10</w:t>
            </w:r>
            <w:r>
              <w:rPr>
                <w:rFonts w:hint="eastAsia" w:ascii="仿宋" w:hAnsi="仿宋" w:eastAsia="仿宋" w:cs="仿宋"/>
                <w:color w:val="000000" w:themeColor="text1"/>
                <w:sz w:val="28"/>
                <w:szCs w:val="28"/>
                <w14:textFill>
                  <w14:solidFill>
                    <w14:schemeClr w14:val="tx1"/>
                  </w14:solidFill>
                </w14:textFill>
              </w:rPr>
              <w:t xml:space="preserve">分； 应急保障预案较合理得 </w:t>
            </w:r>
            <w:r>
              <w:rPr>
                <w:rFonts w:hint="eastAsia" w:ascii="仿宋" w:hAnsi="仿宋" w:eastAsia="仿宋" w:cs="仿宋"/>
                <w:color w:val="000000" w:themeColor="text1"/>
                <w:sz w:val="28"/>
                <w:szCs w:val="28"/>
                <w:lang w:val="en-US"/>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 xml:space="preserve">分； 其他得 </w:t>
            </w:r>
            <w:r>
              <w:rPr>
                <w:rFonts w:hint="eastAsia" w:ascii="仿宋" w:hAnsi="仿宋" w:eastAsia="仿宋" w:cs="仿宋"/>
                <w:color w:val="000000" w:themeColor="text1"/>
                <w:sz w:val="28"/>
                <w:szCs w:val="28"/>
                <w:lang w:val="en-US"/>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分，未提供不得分。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72" w:hRule="atLeast"/>
        </w:trPr>
        <w:tc>
          <w:tcPr>
            <w:tcW w:w="578" w:type="dxa"/>
            <w:vMerge w:val="restart"/>
            <w:tcBorders>
              <w:bottom w:val="nil"/>
            </w:tcBorders>
          </w:tcPr>
          <w:p>
            <w:pPr>
              <w:spacing w:line="275" w:lineRule="auto"/>
              <w:rPr>
                <w:color w:val="000000" w:themeColor="text1"/>
                <w14:textFill>
                  <w14:solidFill>
                    <w14:schemeClr w14:val="tx1"/>
                  </w14:solidFill>
                </w14:textFill>
              </w:rPr>
            </w:pPr>
          </w:p>
          <w:p>
            <w:pPr>
              <w:spacing w:line="275" w:lineRule="auto"/>
              <w:rPr>
                <w:color w:val="000000" w:themeColor="text1"/>
                <w14:textFill>
                  <w14:solidFill>
                    <w14:schemeClr w14:val="tx1"/>
                  </w14:solidFill>
                </w14:textFill>
              </w:rPr>
            </w:pPr>
          </w:p>
          <w:p>
            <w:pPr>
              <w:spacing w:line="275" w:lineRule="auto"/>
              <w:rPr>
                <w:color w:val="000000" w:themeColor="text1"/>
                <w14:textFill>
                  <w14:solidFill>
                    <w14:schemeClr w14:val="tx1"/>
                  </w14:solidFill>
                </w14:textFill>
              </w:rPr>
            </w:pPr>
          </w:p>
          <w:p>
            <w:pPr>
              <w:spacing w:line="276" w:lineRule="auto"/>
              <w:rPr>
                <w:color w:val="000000" w:themeColor="text1"/>
                <w14:textFill>
                  <w14:solidFill>
                    <w14:schemeClr w14:val="tx1"/>
                  </w14:solidFill>
                </w14:textFill>
              </w:rPr>
            </w:pPr>
          </w:p>
          <w:p>
            <w:pPr>
              <w:spacing w:line="276" w:lineRule="auto"/>
              <w:rPr>
                <w:color w:val="000000" w:themeColor="text1"/>
                <w14:textFill>
                  <w14:solidFill>
                    <w14:schemeClr w14:val="tx1"/>
                  </w14:solidFill>
                </w14:textFill>
              </w:rPr>
            </w:pPr>
          </w:p>
          <w:p>
            <w:pPr>
              <w:spacing w:line="276" w:lineRule="auto"/>
              <w:rPr>
                <w:color w:val="000000" w:themeColor="text1"/>
                <w14:textFill>
                  <w14:solidFill>
                    <w14:schemeClr w14:val="tx1"/>
                  </w14:solidFill>
                </w14:textFill>
              </w:rPr>
            </w:pPr>
          </w:p>
          <w:p>
            <w:pPr>
              <w:spacing w:before="68" w:line="183" w:lineRule="auto"/>
              <w:ind w:left="245"/>
              <w:rPr>
                <w:rFonts w:ascii="宋体" w:hAnsi="宋体" w:eastAsia="宋体" w:cs="宋体"/>
                <w:color w:val="000000" w:themeColor="text1"/>
                <w14:textFill>
                  <w14:solidFill>
                    <w14:schemeClr w14:val="tx1"/>
                  </w14:solidFill>
                </w14:textFill>
              </w:rPr>
            </w:pPr>
            <w:r>
              <w:rPr>
                <w:rFonts w:ascii="宋体" w:hAnsi="宋体" w:eastAsia="宋体" w:cs="宋体"/>
                <w:color w:val="000000" w:themeColor="text1"/>
                <w14:textFill>
                  <w14:solidFill>
                    <w14:schemeClr w14:val="tx1"/>
                  </w14:solidFill>
                </w14:textFill>
              </w:rPr>
              <w:t>3</w:t>
            </w:r>
          </w:p>
        </w:tc>
        <w:tc>
          <w:tcPr>
            <w:tcW w:w="782" w:type="dxa"/>
            <w:vMerge w:val="restart"/>
            <w:tcBorders>
              <w:bottom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center"/>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center"/>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center"/>
              <w:textAlignment w:val="top"/>
              <w:outlineLvl w:val="9"/>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center"/>
              <w:textAlignment w:val="top"/>
              <w:outlineLvl w:val="9"/>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商务</w:t>
            </w:r>
          </w:p>
          <w:p>
            <w:pPr>
              <w:pStyle w:val="2"/>
              <w:jc w:val="center"/>
              <w:rPr>
                <w:rFonts w:hint="eastAsia"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部分</w:t>
            </w: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投标文件编制</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14:textFill>
                  <w14:solidFill>
                    <w14:schemeClr w14:val="tx1"/>
                  </w14:solidFill>
                </w14:textFill>
              </w:rPr>
              <w:t>5</w:t>
            </w: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投标文件按招标文件要求编制，有详细目录、连续页码、目录、索引表等，有关材料装订顺序对应清晰、查阅方便、无错误的计</w:t>
            </w:r>
            <w:r>
              <w:rPr>
                <w:rFonts w:hint="default"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分。一处不符合扣0.5分，扣完为止。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4" w:hRule="atLeast"/>
        </w:trPr>
        <w:tc>
          <w:tcPr>
            <w:tcW w:w="578" w:type="dxa"/>
            <w:vMerge w:val="continue"/>
            <w:tcBorders>
              <w:top w:val="nil"/>
            </w:tcBorders>
          </w:tcPr>
          <w:p>
            <w:pPr>
              <w:rPr>
                <w:color w:val="000000" w:themeColor="text1"/>
                <w14:textFill>
                  <w14:solidFill>
                    <w14:schemeClr w14:val="tx1"/>
                  </w14:solidFill>
                </w14:textFill>
              </w:rPr>
            </w:pPr>
          </w:p>
        </w:tc>
        <w:tc>
          <w:tcPr>
            <w:tcW w:w="782" w:type="dxa"/>
            <w:vMerge w:val="continue"/>
            <w:tcBorders>
              <w:top w:val="nil"/>
            </w:tcBorders>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tc>
        <w:tc>
          <w:tcPr>
            <w:tcW w:w="834"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原厂授权书</w:t>
            </w:r>
          </w:p>
        </w:tc>
        <w:tc>
          <w:tcPr>
            <w:tcW w:w="705"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14:textFill>
                  <w14:solidFill>
                    <w14:schemeClr w14:val="tx1"/>
                  </w14:solidFill>
                </w14:textFill>
              </w:rPr>
              <w:t>10</w:t>
            </w:r>
          </w:p>
        </w:tc>
        <w:tc>
          <w:tcPr>
            <w:tcW w:w="6982" w:type="dxa"/>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投标人提供本项目设备原厂授予的维保服务授权书，提供授权书计</w:t>
            </w:r>
            <w:r>
              <w:rPr>
                <w:rFonts w:hint="default" w:ascii="仿宋" w:hAnsi="仿宋" w:eastAsia="仿宋" w:cs="仿宋"/>
                <w:color w:val="000000" w:themeColor="text1"/>
                <w:sz w:val="28"/>
                <w:szCs w:val="28"/>
                <w:lang w:val="en-US" w:eastAsia="zh-CN"/>
                <w14:textFill>
                  <w14:solidFill>
                    <w14:schemeClr w14:val="tx1"/>
                  </w14:solidFill>
                </w14:textFill>
              </w:rPr>
              <w:t>5</w:t>
            </w:r>
            <w:r>
              <w:rPr>
                <w:rFonts w:hint="eastAsia" w:ascii="仿宋" w:hAnsi="仿宋" w:eastAsia="仿宋" w:cs="仿宋"/>
                <w:color w:val="000000" w:themeColor="text1"/>
                <w:sz w:val="28"/>
                <w:szCs w:val="28"/>
                <w:lang w:eastAsia="zh-CN"/>
                <w14:textFill>
                  <w14:solidFill>
                    <w14:schemeClr w14:val="tx1"/>
                  </w14:solidFill>
                </w14:textFill>
              </w:rPr>
              <w:t>分，未提供授权书计0分。（注：提供授权书复印件或扫描件加盖投标人公章）</w:t>
            </w:r>
          </w:p>
        </w:tc>
      </w:tr>
    </w:tbl>
    <w:p>
      <w:pPr>
        <w:adjustRightInd w:val="0"/>
        <w:snapToGrid w:val="0"/>
        <w:spacing w:line="360" w:lineRule="auto"/>
        <w:jc w:val="left"/>
        <w:rPr>
          <w:rFonts w:hint="eastAsia" w:ascii="宋体" w:hAnsi="宋体" w:eastAsia="宋体" w:cs="宋体"/>
          <w:b/>
          <w:sz w:val="28"/>
          <w:szCs w:val="28"/>
        </w:rPr>
      </w:pPr>
    </w:p>
    <w:p>
      <w:pPr>
        <w:adjustRightInd w:val="0"/>
        <w:snapToGrid w:val="0"/>
        <w:spacing w:line="360" w:lineRule="auto"/>
        <w:jc w:val="left"/>
        <w:rPr>
          <w:rFonts w:hint="eastAsia" w:ascii="宋体" w:hAnsi="宋体" w:eastAsia="宋体" w:cs="宋体"/>
          <w:b/>
          <w:sz w:val="28"/>
          <w:szCs w:val="28"/>
        </w:rPr>
      </w:pPr>
    </w:p>
    <w:p>
      <w:pPr>
        <w:spacing w:before="29" w:line="221" w:lineRule="auto"/>
        <w:rPr>
          <w:rFonts w:hAnsi="宋体" w:eastAsia="宋体" w:cs="宋体"/>
          <w:spacing w:val="-5"/>
          <w:sz w:val="28"/>
          <w:szCs w:val="28"/>
        </w:rPr>
      </w:pPr>
    </w:p>
    <w:p>
      <w:pPr>
        <w:spacing w:line="236" w:lineRule="exact"/>
        <w:rPr>
          <w:color w:val="000000" w:themeColor="text1"/>
          <w14:textFill>
            <w14:solidFill>
              <w14:schemeClr w14:val="tx1"/>
            </w14:solidFill>
          </w14:textFill>
        </w:rPr>
      </w:pPr>
    </w:p>
    <w:p>
      <w:pPr>
        <w:pStyle w:val="9"/>
        <w:rPr>
          <w:rFonts w:hint="eastAsia" w:ascii="宋体" w:hAnsi="宋体" w:eastAsia="宋体" w:cs="宋体"/>
          <w:b/>
          <w:sz w:val="28"/>
          <w:szCs w:val="28"/>
        </w:rPr>
      </w:pPr>
    </w:p>
    <w:p>
      <w:pPr>
        <w:rPr>
          <w:rFonts w:hint="eastAsia" w:ascii="宋体" w:hAnsi="宋体" w:eastAsia="宋体" w:cs="宋体"/>
          <w:b/>
          <w:sz w:val="28"/>
          <w:szCs w:val="28"/>
        </w:rPr>
      </w:pPr>
    </w:p>
    <w:p>
      <w:pPr>
        <w:pStyle w:val="9"/>
        <w:rPr>
          <w:rFonts w:hint="eastAsia" w:ascii="宋体" w:hAnsi="宋体" w:eastAsia="宋体" w:cs="宋体"/>
          <w:b/>
          <w:sz w:val="28"/>
          <w:szCs w:val="28"/>
        </w:rPr>
      </w:pPr>
    </w:p>
    <w:p>
      <w:pPr>
        <w:rPr>
          <w:rFonts w:hint="eastAsia" w:ascii="宋体" w:hAnsi="宋体" w:eastAsia="宋体" w:cs="宋体"/>
          <w:b/>
          <w:sz w:val="28"/>
          <w:szCs w:val="28"/>
        </w:rPr>
      </w:pPr>
    </w:p>
    <w:p>
      <w:pPr>
        <w:pStyle w:val="9"/>
        <w:rPr>
          <w:rFonts w:hint="eastAsia" w:ascii="宋体" w:hAnsi="宋体" w:eastAsia="宋体" w:cs="宋体"/>
          <w:b/>
          <w:sz w:val="28"/>
          <w:szCs w:val="28"/>
        </w:rPr>
      </w:pPr>
    </w:p>
    <w:p>
      <w:pPr>
        <w:rPr>
          <w:rFonts w:hint="eastAsia" w:ascii="宋体" w:hAnsi="宋体" w:eastAsia="宋体" w:cs="宋体"/>
          <w:b/>
          <w:sz w:val="28"/>
          <w:szCs w:val="28"/>
        </w:rPr>
      </w:pPr>
    </w:p>
    <w:p>
      <w:pPr>
        <w:pStyle w:val="9"/>
        <w:rPr>
          <w:rFonts w:hint="eastAsia" w:ascii="宋体" w:hAnsi="宋体" w:eastAsia="宋体" w:cs="宋体"/>
          <w:b/>
          <w:sz w:val="28"/>
          <w:szCs w:val="28"/>
        </w:rPr>
      </w:pPr>
    </w:p>
    <w:p>
      <w:pPr>
        <w:rPr>
          <w:rFonts w:hint="eastAsia" w:ascii="宋体" w:hAnsi="宋体" w:eastAsia="宋体" w:cs="宋体"/>
          <w:b/>
          <w:sz w:val="28"/>
          <w:szCs w:val="28"/>
        </w:rPr>
      </w:pPr>
    </w:p>
    <w:p>
      <w:pPr>
        <w:pStyle w:val="2"/>
      </w:pPr>
    </w:p>
    <w:p>
      <w:pPr>
        <w:adjustRightInd w:val="0"/>
        <w:snapToGrid w:val="0"/>
        <w:spacing w:line="360" w:lineRule="auto"/>
        <w:jc w:val="both"/>
        <w:rPr>
          <w:rFonts w:hint="default"/>
          <w:b/>
          <w:color w:val="000000" w:themeColor="text1"/>
          <w:sz w:val="28"/>
          <w:szCs w:val="28"/>
          <w:highlight w:val="none"/>
          <w:lang w:val="en-US" w:eastAsia="zh-CN"/>
          <w14:textFill>
            <w14:solidFill>
              <w14:schemeClr w14:val="tx1"/>
            </w14:solidFill>
          </w14:textFill>
        </w:rPr>
      </w:pPr>
      <w:r>
        <w:rPr>
          <w:rFonts w:hint="eastAsia"/>
          <w:b/>
          <w:color w:val="000000" w:themeColor="text1"/>
          <w:sz w:val="28"/>
          <w:szCs w:val="28"/>
          <w:highlight w:val="none"/>
          <w:lang w:val="en-US" w:eastAsia="zh-CN"/>
          <w14:textFill>
            <w14:solidFill>
              <w14:schemeClr w14:val="tx1"/>
            </w14:solidFill>
          </w14:textFill>
        </w:rPr>
        <w:t>附件二：</w:t>
      </w:r>
    </w:p>
    <w:p/>
    <w:p>
      <w:pPr>
        <w:ind w:firstLine="2891" w:firstLineChars="8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6"/>
          <w:szCs w:val="36"/>
          <w:lang w:val="en-US" w:eastAsia="zh-CN"/>
        </w:rPr>
        <w:t>投标报价表</w:t>
      </w:r>
      <w:r>
        <w:rPr>
          <w:rFonts w:hint="eastAsia" w:ascii="仿宋_GB2312" w:hAnsi="仿宋_GB2312" w:eastAsia="仿宋_GB2312" w:cs="仿宋_GB2312"/>
          <w:sz w:val="32"/>
          <w:szCs w:val="32"/>
          <w:lang w:val="en-US" w:eastAsia="zh-CN"/>
        </w:rPr>
        <w:t xml:space="preserve"> </w:t>
      </w:r>
    </w:p>
    <w:tbl>
      <w:tblPr>
        <w:tblStyle w:val="14"/>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采购项目名称</w:t>
            </w:r>
          </w:p>
        </w:tc>
        <w:tc>
          <w:tcPr>
            <w:tcW w:w="2865" w:type="dxa"/>
            <w:vAlign w:val="center"/>
          </w:tcPr>
          <w:p>
            <w:pPr>
              <w:jc w:val="both"/>
              <w:rPr>
                <w:rFonts w:hint="default" w:ascii="仿宋_GB2312" w:hAnsi="仿宋_GB2312" w:eastAsia="仿宋_GB2312" w:cs="仿宋_GB2312"/>
                <w:sz w:val="32"/>
                <w:szCs w:val="32"/>
                <w:vertAlign w:val="baseline"/>
                <w:lang w:val="en-US" w:eastAsia="zh-CN"/>
              </w:rPr>
            </w:pPr>
          </w:p>
        </w:tc>
        <w:tc>
          <w:tcPr>
            <w:tcW w:w="2550" w:type="dxa"/>
            <w:vAlign w:val="center"/>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采购编号</w:t>
            </w:r>
          </w:p>
        </w:tc>
        <w:tc>
          <w:tcPr>
            <w:tcW w:w="2040" w:type="dxa"/>
            <w:vAlign w:val="center"/>
          </w:tcPr>
          <w:p>
            <w:pPr>
              <w:ind w:left="320" w:hanging="320" w:hangingChars="100"/>
              <w:jc w:val="both"/>
              <w:rPr>
                <w:rFonts w:hint="default"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供应商</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名称</w:t>
            </w:r>
          </w:p>
        </w:tc>
        <w:tc>
          <w:tcPr>
            <w:tcW w:w="7455" w:type="dxa"/>
            <w:gridSpan w:val="3"/>
            <w:vAlign w:val="center"/>
          </w:tcPr>
          <w:p>
            <w:pPr>
              <w:jc w:val="center"/>
              <w:rPr>
                <w:rFonts w:hint="eastAsia" w:ascii="仿宋_GB2312" w:hAnsi="仿宋_GB2312" w:eastAsia="仿宋_GB2312" w:cs="仿宋_GB2312"/>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0"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数量</w:t>
            </w:r>
          </w:p>
        </w:tc>
        <w:tc>
          <w:tcPr>
            <w:tcW w:w="7455" w:type="dxa"/>
            <w:gridSpan w:val="3"/>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8"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总报价</w:t>
            </w:r>
          </w:p>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人民币</w:t>
            </w:r>
          </w:p>
        </w:tc>
        <w:tc>
          <w:tcPr>
            <w:tcW w:w="7455" w:type="dxa"/>
            <w:gridSpan w:val="3"/>
            <w:vAlign w:val="center"/>
          </w:tcPr>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大写：                     元人民币整</w:t>
            </w:r>
          </w:p>
          <w:p>
            <w:pPr>
              <w:jc w:val="both"/>
              <w:rPr>
                <w:rFonts w:hint="eastAsia" w:ascii="仿宋_GB2312" w:hAnsi="仿宋_GB2312" w:eastAsia="仿宋_GB2312" w:cs="仿宋_GB2312"/>
                <w:sz w:val="32"/>
                <w:szCs w:val="32"/>
                <w:vertAlign w:val="baseline"/>
                <w:lang w:val="en-US" w:eastAsia="zh-CN"/>
              </w:rPr>
            </w:pPr>
          </w:p>
          <w:p>
            <w:pPr>
              <w:jc w:val="both"/>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5" w:hRule="atLeast"/>
        </w:trPr>
        <w:tc>
          <w:tcPr>
            <w:tcW w:w="675"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4</w:t>
            </w:r>
          </w:p>
        </w:tc>
        <w:tc>
          <w:tcPr>
            <w:tcW w:w="1920"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备注</w:t>
            </w:r>
          </w:p>
        </w:tc>
        <w:tc>
          <w:tcPr>
            <w:tcW w:w="7455" w:type="dxa"/>
            <w:gridSpan w:val="3"/>
            <w:vAlign w:val="center"/>
          </w:tcPr>
          <w:p>
            <w:pPr>
              <w:jc w:val="center"/>
              <w:rPr>
                <w:rFonts w:hint="eastAsia" w:ascii="仿宋_GB2312" w:hAnsi="仿宋_GB2312" w:eastAsia="仿宋_GB2312" w:cs="仿宋_GB2312"/>
                <w:sz w:val="32"/>
                <w:szCs w:val="32"/>
                <w:vertAlign w:val="baseline"/>
                <w:lang w:val="en-US" w:eastAsia="zh-CN"/>
              </w:rPr>
            </w:pPr>
          </w:p>
        </w:tc>
      </w:tr>
    </w:tbl>
    <w:p>
      <w:pPr>
        <w:jc w:val="left"/>
        <w:rPr>
          <w:rFonts w:hint="eastAsia" w:ascii="仿宋_GB2312" w:hAnsi="仿宋_GB2312" w:eastAsia="仿宋_GB2312" w:cs="仿宋_GB2312"/>
          <w:sz w:val="32"/>
          <w:szCs w:val="32"/>
          <w:lang w:val="en-US" w:eastAsia="zh-CN"/>
        </w:rPr>
      </w:pPr>
    </w:p>
    <w:p>
      <w:pPr>
        <w:ind w:firstLine="960" w:firstLineChars="3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说明：本表不要装订在响应文件内 ，单独密封递交</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numPr>
          <w:ilvl w:val="0"/>
          <w:numId w:val="0"/>
        </w:numPr>
        <w:ind w:firstLine="1920" w:firstLineChars="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法定代表人或其委托代理人签字：</w:t>
      </w:r>
    </w:p>
    <w:p>
      <w:pPr>
        <w:pStyle w:val="11"/>
        <w:ind w:firstLine="5440" w:firstLineChars="1700"/>
        <w:rPr>
          <w:rFonts w:hint="default"/>
          <w:lang w:val="en-US" w:eastAsia="zh-CN"/>
        </w:rPr>
      </w:pPr>
      <w:r>
        <w:rPr>
          <w:rFonts w:hint="eastAsia" w:ascii="仿宋_GB2312" w:hAnsi="仿宋_GB2312" w:eastAsia="仿宋_GB2312" w:cs="仿宋_GB2312"/>
          <w:sz w:val="32"/>
          <w:szCs w:val="32"/>
          <w:lang w:val="en-US" w:eastAsia="zh-CN"/>
        </w:rPr>
        <w:t>年   月    日</w:t>
      </w:r>
    </w:p>
    <w:p>
      <w:pPr>
        <w:pStyle w:val="2"/>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eastAsia"/>
          <w:b/>
          <w:color w:val="000000" w:themeColor="text1"/>
          <w:sz w:val="28"/>
          <w:szCs w:val="28"/>
          <w:highlight w:val="none"/>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right="0" w:rightChars="0"/>
        <w:jc w:val="left"/>
        <w:textAlignment w:val="top"/>
        <w:outlineLvl w:val="9"/>
        <w:rPr>
          <w:rFonts w:hint="default" w:ascii="仿宋" w:hAnsi="仿宋" w:eastAsia="仿宋" w:cs="仿宋"/>
          <w:b/>
          <w:bCs w:val="0"/>
          <w:color w:val="000000" w:themeColor="text1"/>
          <w:sz w:val="28"/>
          <w:szCs w:val="28"/>
          <w:lang w:val="en-US" w:eastAsia="zh-CN"/>
          <w14:textFill>
            <w14:solidFill>
              <w14:schemeClr w14:val="tx1"/>
            </w14:solidFill>
          </w14:textFill>
        </w:rPr>
      </w:pPr>
      <w:r>
        <w:rPr>
          <w:rFonts w:hint="eastAsia"/>
          <w:b/>
          <w:bCs w:val="0"/>
          <w:color w:val="000000" w:themeColor="text1"/>
          <w:sz w:val="28"/>
          <w:szCs w:val="28"/>
          <w:highlight w:val="none"/>
          <w:lang w:val="en-US" w:eastAsia="zh-CN"/>
          <w14:textFill>
            <w14:solidFill>
              <w14:schemeClr w14:val="tx1"/>
            </w14:solidFill>
          </w14:textFill>
        </w:rPr>
        <w:t>附</w:t>
      </w:r>
      <w:r>
        <w:rPr>
          <w:rFonts w:hint="eastAsia" w:ascii="仿宋" w:hAnsi="仿宋" w:eastAsia="仿宋" w:cs="仿宋"/>
          <w:b/>
          <w:bCs w:val="0"/>
          <w:color w:val="000000" w:themeColor="text1"/>
          <w:sz w:val="28"/>
          <w:szCs w:val="28"/>
          <w:lang w:val="en-US" w:eastAsia="zh-CN"/>
          <w14:textFill>
            <w14:solidFill>
              <w14:schemeClr w14:val="tx1"/>
            </w14:solidFill>
          </w14:textFill>
        </w:rPr>
        <w:t>件三：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249" w:firstLineChars="700"/>
        <w:jc w:val="left"/>
        <w:textAlignment w:val="top"/>
        <w:outlineLvl w:val="9"/>
        <w:rPr>
          <w:rFonts w:hint="default" w:ascii="仿宋" w:hAnsi="仿宋" w:eastAsia="仿宋" w:cs="仿宋"/>
          <w:b/>
          <w:bCs/>
          <w:color w:val="000000" w:themeColor="text1"/>
          <w:sz w:val="32"/>
          <w:szCs w:val="32"/>
          <w:lang w:val="en-US" w:eastAsia="zh-CN"/>
          <w14:textFill>
            <w14:solidFill>
              <w14:schemeClr w14:val="tx1"/>
            </w14:solidFill>
          </w14:textFill>
        </w:rPr>
      </w:pPr>
      <w:r>
        <w:rPr>
          <w:rFonts w:hint="default" w:ascii="仿宋" w:hAnsi="仿宋" w:eastAsia="仿宋" w:cs="仿宋"/>
          <w:b/>
          <w:bCs/>
          <w:color w:val="000000" w:themeColor="text1"/>
          <w:sz w:val="32"/>
          <w:szCs w:val="32"/>
          <w:lang w:val="en-US" w:eastAsia="zh-CN"/>
          <w14:textFill>
            <w14:solidFill>
              <w14:schemeClr w14:val="tx1"/>
            </w14:solidFill>
          </w14:textFill>
        </w:rPr>
        <w:t>投标人资格声明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致(采购人)：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按照遴选文件的规定，我单位郑重声明如下：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一、我单位是按照中华人民共和国法律规定登记注册的，注册地点为      ，全称为      ，统一社会信用代码为      ，法定代表人为      ，具有独立承担民事责任的能力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二、我单位具有良好的商业信誉和健全的财务会计制度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三、我单位具有履行本项目采购合同所必需的设备和专业技术能力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四、我单位在参加本遴选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五、我单位具备法律、行政法规规定的其他条件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六、与我单位存在“单位负责人为同一人或者存在直接控股、管理关系”的其他法人单位信息如下（如无，填写“无”）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1、与我单位的法定代表人（单位负责人）为同一人的其他法人单位如下：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2、我单位直接控股的其他法人单位如下  ：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 xml:space="preserve">3、与我单位存在管理关系的其他法人单位如下  ：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我单位保证上述声明的事项都是真实的，如有虚假，我单位愿意承担相应的法律责任，并承担因此所造成的一切损失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我单位保证随时按照要求提供能够证明上述声明事项真实性的任何有效文件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3640" w:firstLineChars="13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投标人名称（盖单位公章）：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3360" w:firstLineChars="12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法定代表人或委托代理人（签字）：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3920" w:firstLineChars="14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日期：    年    月    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default"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left"/>
        <w:textAlignment w:val="top"/>
        <w:outlineLvl w:val="9"/>
        <w:rPr>
          <w:rFonts w:hint="eastAsia" w:ascii="仿宋" w:hAnsi="仿宋" w:eastAsia="仿宋" w:cs="仿宋"/>
          <w:color w:val="000000" w:themeColor="text1"/>
          <w:sz w:val="28"/>
          <w:szCs w:val="28"/>
          <w:lang w:val="en-US" w:eastAsia="zh-CN"/>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7A"/>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auto"/>
    <w:pitch w:val="default"/>
    <w:sig w:usb0="E0002AFF" w:usb1="C0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7A"/>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GE Inspira">
    <w:altName w:val="Calibri"/>
    <w:panose1 w:val="00000000000000000000"/>
    <w:charset w:val="00"/>
    <w:family w:val="swiss"/>
    <w:pitch w:val="default"/>
    <w:sig w:usb0="00000000" w:usb1="00000000" w:usb2="00000000" w:usb3="00000000" w:csb0="0000009F" w:csb1="00000000"/>
  </w:font>
  <w:font w:name="黑体">
    <w:panose1 w:val="02010609060101010101"/>
    <w:charset w:val="7A"/>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C3879"/>
    <w:rsid w:val="07A11B83"/>
    <w:rsid w:val="0A0164AF"/>
    <w:rsid w:val="0F9B54FC"/>
    <w:rsid w:val="10404977"/>
    <w:rsid w:val="12116299"/>
    <w:rsid w:val="13424ACD"/>
    <w:rsid w:val="32EC3879"/>
    <w:rsid w:val="35CD0678"/>
    <w:rsid w:val="3D834C63"/>
    <w:rsid w:val="40C43618"/>
    <w:rsid w:val="41176EFE"/>
    <w:rsid w:val="44604967"/>
    <w:rsid w:val="46C06FEE"/>
    <w:rsid w:val="48325CC2"/>
    <w:rsid w:val="4A6239B6"/>
    <w:rsid w:val="4C066178"/>
    <w:rsid w:val="4EBE3867"/>
    <w:rsid w:val="53E726DB"/>
    <w:rsid w:val="616A6746"/>
    <w:rsid w:val="61D069AE"/>
    <w:rsid w:val="66645F29"/>
    <w:rsid w:val="6F605D5C"/>
    <w:rsid w:val="70BF2A1D"/>
    <w:rsid w:val="712675AE"/>
    <w:rsid w:val="75520FED"/>
    <w:rsid w:val="7B5E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3">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4">
    <w:name w:val="Body Text"/>
    <w:basedOn w:val="1"/>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2"/>
      <w:lang w:eastAsia="en-US"/>
    </w:rPr>
  </w:style>
  <w:style w:type="paragraph" w:styleId="5">
    <w:name w:val="Body Text Indent"/>
    <w:basedOn w:val="1"/>
    <w:next w:val="6"/>
    <w:uiPriority w:val="0"/>
    <w:pPr>
      <w:spacing w:line="360" w:lineRule="auto"/>
      <w:ind w:firstLine="540" w:firstLineChars="225"/>
    </w:pPr>
    <w:rPr>
      <w:sz w:val="24"/>
      <w:szCs w:val="28"/>
    </w:rPr>
  </w:style>
  <w:style w:type="paragraph" w:styleId="6">
    <w:name w:val="Body Text Indent 2"/>
    <w:basedOn w:val="1"/>
    <w:next w:val="1"/>
    <w:uiPriority w:val="0"/>
    <w:pPr>
      <w:widowControl w:val="0"/>
      <w:adjustRightInd/>
      <w:snapToGrid/>
      <w:spacing w:after="120" w:line="480" w:lineRule="auto"/>
      <w:ind w:left="420" w:leftChars="200"/>
      <w:jc w:val="both"/>
    </w:pPr>
    <w:rPr>
      <w:rFonts w:ascii="Calibri" w:hAnsi="Calibri" w:eastAsia="宋体" w:cs="Times New Roman"/>
      <w:kern w:val="2"/>
      <w:sz w:val="21"/>
      <w:szCs w:val="24"/>
    </w:rPr>
  </w:style>
  <w:style w:type="paragraph" w:styleId="7">
    <w:name w:val="Plain Text"/>
    <w:basedOn w:val="1"/>
    <w:qFormat/>
    <w:uiPriority w:val="0"/>
    <w:rPr>
      <w:rFonts w:ascii="宋体" w:hAnsi="Courier New" w:eastAsia="宋体"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Body Text First Indent 2"/>
    <w:basedOn w:val="5"/>
    <w:next w:val="1"/>
    <w:qFormat/>
    <w:uiPriority w:val="0"/>
    <w:pPr>
      <w:widowControl/>
      <w:spacing w:after="312" w:afterLines="100" w:line="360" w:lineRule="auto"/>
      <w:ind w:left="200" w:firstLine="210" w:firstLineChars="200"/>
      <w:jc w:val="left"/>
    </w:pPr>
    <w:rPr>
      <w:kern w:val="28"/>
      <w:sz w:val="24"/>
      <w:lang w:val="zh-CN"/>
    </w:rPr>
  </w:style>
  <w:style w:type="paragraph" w:styleId="10">
    <w:name w:val="Body Text 2"/>
    <w:basedOn w:val="1"/>
    <w:qFormat/>
    <w:uiPriority w:val="0"/>
    <w:pPr>
      <w:spacing w:after="120" w:line="480" w:lineRule="auto"/>
    </w:pPr>
  </w:style>
  <w:style w:type="paragraph" w:styleId="11">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5">
    <w:name w:val="font01"/>
    <w:basedOn w:val="12"/>
    <w:qFormat/>
    <w:uiPriority w:val="0"/>
    <w:rPr>
      <w:rFonts w:hint="eastAsia" w:ascii="宋体" w:hAnsi="宋体" w:eastAsia="宋体" w:cs="宋体"/>
      <w:color w:val="000000"/>
      <w:sz w:val="24"/>
      <w:szCs w:val="24"/>
      <w:u w:val="none"/>
    </w:rPr>
  </w:style>
  <w:style w:type="paragraph" w:customStyle="1" w:styleId="16">
    <w:name w:val="正文文本_0"/>
    <w:qFormat/>
    <w:uiPriority w:val="0"/>
    <w:pPr>
      <w:widowControl w:val="0"/>
      <w:spacing w:before="100" w:beforeAutospacing="1" w:after="120"/>
      <w:jc w:val="both"/>
    </w:pPr>
    <w:rPr>
      <w:rFonts w:ascii="Calibri" w:hAnsi="Calibri" w:eastAsia="宋体" w:cs="Calibri"/>
      <w:kern w:val="2"/>
      <w:sz w:val="21"/>
      <w:szCs w:val="21"/>
      <w:lang w:val="en-US" w:eastAsia="zh-CN" w:bidi="ar-SA"/>
    </w:rPr>
  </w:style>
  <w:style w:type="character" w:customStyle="1" w:styleId="17">
    <w:name w:val="10"/>
    <w:qFormat/>
    <w:uiPriority w:val="0"/>
    <w:rPr>
      <w:rFonts w:hint="default" w:ascii="Times New Roman" w:hAnsi="Times New Roman" w:eastAsia="宋体" w:cs="Times New Roman"/>
    </w:rPr>
  </w:style>
  <w:style w:type="table" w:customStyle="1" w:styleId="18">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2026-03-13T02:28:00Z</dcterms:created>
  <dc:creator>Administrator</dc:creator>
  <cp:lastModifiedBy>Administrator</cp:lastModifiedBy>
  <cp:lastPrinted>2026-03-23T07:53:32Z</cp:lastPrinted>
  <dcterms:modified xsi:type="dcterms:W3CDTF">2026-03-23T07:56:49Z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